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Onboarding Guide</w:t>
      </w:r>
    </w:p>
    <w:p>
      <w:pPr>
        <w:ind w:left="720"/>
      </w:pPr>
      <w:r>
        <w:rPr>
          <w:i/>
          <w:color w:val="666666"/>
        </w:rPr>
        <w:t xml:space="preserve">**Acme Inc** — New Employee Compliance Onboarding</w:t>
      </w:r>
    </w:p>
    <w:p>
      <w:r>
        <w:t xml:space="preserve">&gt;</w:t>
      </w:r>
    </w:p>
    <w:p>
      <w:pPr>
        <w:ind w:left="720"/>
      </w:pPr>
      <w:r>
        <w:rPr>
          <w:i/>
          <w:color w:val="666666"/>
        </w:rPr>
        <w:t xml:space="preserve">Generated on 2026-03-19 by [Codepliant](https://github.com/joechensmartz/codepliant)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Style w:val="Heading2"/>
      </w:pPr>
      <w:r>
        <w:t>1. Welcome</w:t>
      </w:r>
    </w:p>
    <w:p>
      <w:r>
        <w:t xml:space="preserve">Welcome to Acme Inc. This guide will help you understand your compliance responsibilities from day one. Data protection and security are everyone's responsibility — not just the legal team's.</w:t>
      </w:r>
    </w:p>
    <w:p>
      <w:r>
        <w:t xml:space="preserve">Why this matters: Our application processes user data through multiple services and platforms. Every team member who touches code, data, or infrastructure must understand the rules that govern how we handle that data.</w:t>
      </w:r>
    </w:p>
    <w:p>
      <w:pPr>
        <w:pStyle w:val="Heading2"/>
      </w:pPr>
      <w:r>
        <w:t>2. Key Contacts</w:t>
      </w:r>
    </w:p>
    <w:p>
      <w:r>
        <w:rPr>
          <w:sz w:val="20"/>
        </w:rPr>
        <w:t xml:space="preserve">Role  |  Contact</w:t>
      </w:r>
    </w:p>
    <w:p>
      <w:r>
        <w:rPr>
          <w:sz w:val="20"/>
        </w:rPr>
        <w:t xml:space="preserve">**Privacy / Compliance Lead**  |  legal@acme.com</w:t>
      </w:r>
    </w:p>
    <w:p>
      <w:r>
        <w:rPr>
          <w:sz w:val="20"/>
        </w:rPr>
        <w:t xml:space="preserve">**Data Protection Officer (DPO)**  |  Jane Mueller (dpo@acme-saas.com)</w:t>
      </w:r>
    </w:p>
    <w:p>
      <w:r>
        <w:rPr>
          <w:sz w:val="20"/>
        </w:rPr>
        <w:t xml:space="preserve">**Security Team**  |  legal@acme.com</w:t>
      </w:r>
    </w:p>
    <w:p>
      <w:r>
        <w:rPr>
          <w:sz w:val="20"/>
        </w:rPr>
        <w:t xml:space="preserve">**Incident Reporting**  |  legal@acme.com — report immediately, do not wait</w:t>
      </w:r>
    </w:p>
    <w:p>
      <w:pPr>
        <w:ind w:left="720"/>
      </w:pPr>
      <w:r>
        <w:rPr>
          <w:i/>
          <w:color w:val="666666"/>
        </w:rPr>
        <w:t xml:space="preserve">**Rule of thumb:** If you are unsure whether something involves personal data or a compliance obligation, ask. It is always better to ask first than to fix a breach later.</w:t>
      </w:r>
    </w:p>
    <w:p>
      <w:pPr>
        <w:pStyle w:val="Heading2"/>
      </w:pPr>
      <w:r>
        <w:t>3. Services That Process User Data</w:t>
      </w:r>
    </w:p>
    <w:p>
      <w:r>
        <w:t xml:space="preserve">The following third-party services have been detected in our codebase. Each one processes user data and is covered by our compliance documentation:</w:t>
      </w:r>
    </w:p>
    <w:p>
      <w:r>
        <w:rPr>
          <w:sz w:val="20"/>
        </w:rPr>
        <w:t xml:space="preserve">Service  |  Category  |  Data Processed</w:t>
      </w:r>
    </w:p>
    <w:p>
      <w:r>
        <w:rPr>
          <w:sz w:val="20"/>
        </w:rPr>
        <w:t xml:space="preserve">@sentry/node  |  Error Monitoring  |  error data, stack traces, user context, device information, IP address</w:t>
      </w:r>
    </w:p>
    <w:p>
      <w:r>
        <w:rPr>
          <w:sz w:val="20"/>
        </w:rPr>
        <w:t xml:space="preserve">@supabase/supabase-js  |  Authentication  |  email, password hash, session data, user metadata</w:t>
      </w:r>
    </w:p>
    <w:p>
      <w:r>
        <w:rPr>
          <w:sz w:val="20"/>
        </w:rPr>
        <w:t xml:space="preserve">openai  |  AI Service  |  user prompts, conversation history, generated content</w:t>
      </w:r>
    </w:p>
    <w:p>
      <w:r>
        <w:rPr>
          <w:sz w:val="20"/>
        </w:rPr>
        <w:t xml:space="preserve">posthog  |  Analytics  |  user behavior, session recordings, feature flag usage, device information</w:t>
      </w:r>
    </w:p>
    <w:p>
      <w:r>
        <w:rPr>
          <w:sz w:val="20"/>
        </w:rPr>
        <w:t xml:space="preserve">prisma  |  Database  |  user data as defined in schema</w:t>
      </w:r>
    </w:p>
    <w:p>
      <w:r>
        <w:rPr>
          <w:sz w:val="20"/>
        </w:rPr>
        <w:t xml:space="preserve">resend  |  Email Service  |  email addresses, email content</w:t>
      </w:r>
    </w:p>
    <w:p>
      <w:r>
        <w:rPr>
          <w:sz w:val="20"/>
        </w:rPr>
        <w:t xml:space="preserve">stripe  |  Payment Processing  |  payment information, billing address, email, transaction history</w:t>
      </w:r>
    </w:p>
    <w:p>
      <w:r>
        <w:rPr>
          <w:sz w:val="20"/>
        </w:rPr>
        <w:t xml:space="preserve">stripe-ios  |  Payment Processing  |  payment information, billing address, email, transaction history</w:t>
      </w:r>
    </w:p>
    <w:p>
      <w:r>
        <w:t xml:space="preserve">Total services: 8. Before integrating a new service, check with the compliance lead to ensure it is added to our sub-processor list and covered by a Data Processing Agreement.</w:t>
      </w:r>
    </w:p>
    <w:p>
      <w:pPr>
        <w:pStyle w:val="Heading2"/>
      </w:pPr>
      <w:r>
        <w:t>4. Required Reading — Priority Order</w:t>
      </w:r>
    </w:p>
    <w:p>
      <w:r>
        <w:t xml:space="preserve">Read these documents in order. Each phase builds on the previous one.</w:t>
      </w:r>
    </w:p>
    <w:p>
      <w:pPr>
        <w:pStyle w:val="Heading3"/>
      </w:pPr>
      <w:r>
        <w:t>Day 1 — Immediate</w:t>
      </w:r>
    </w:p>
    <w:p>
      <w:r>
        <w:rPr>
          <w:sz w:val="20"/>
        </w:rPr>
        <w:t xml:space="preserve">Document  |  Why You Need It</w:t>
      </w:r>
    </w:p>
    <w:p>
      <w:r>
        <w:rPr>
          <w:sz w:val="20"/>
        </w:rPr>
        <w:t xml:space="preserve">[Privacy Policy](./PRIVACY_POLICY.md)  |  Understand what user data the company collects and how it is processed</w:t>
      </w:r>
    </w:p>
    <w:p>
      <w:r>
        <w:rPr>
          <w:sz w:val="20"/>
        </w:rPr>
        <w:t xml:space="preserve">[Acceptable Use Policy](./ACCEPTABLE_USE_POLICY.md)  |  Know what is and is not permitted when using company systems</w:t>
      </w:r>
    </w:p>
    <w:p>
      <w:r>
        <w:rPr>
          <w:sz w:val="20"/>
        </w:rPr>
        <w:t xml:space="preserve">[Security Policy](./SECURITY.md)  |  Understand baseline security expectations (passwords, MFA, device handling)</w:t>
      </w:r>
    </w:p>
    <w:p>
      <w:pPr>
        <w:pStyle w:val="Heading3"/>
      </w:pPr>
      <w:r>
        <w:t>Week 1 — Core Compliance</w:t>
      </w:r>
    </w:p>
    <w:p>
      <w:r>
        <w:rPr>
          <w:sz w:val="20"/>
        </w:rPr>
        <w:t xml:space="preserve">Document  |  Why You Need It</w:t>
      </w:r>
    </w:p>
    <w:p>
      <w:r>
        <w:rPr>
          <w:sz w:val="20"/>
        </w:rPr>
        <w:t xml:space="preserve">[Data Protection Policy](./DATA_PROTECTION_POLICY.md)  |  Learn how the company classifies and handles personal data</w:t>
      </w:r>
    </w:p>
    <w:p>
      <w:r>
        <w:rPr>
          <w:sz w:val="20"/>
        </w:rPr>
        <w:t xml:space="preserve">[Incident Response Plan](./INCIDENT_RESPONSE_PLAN.md)  |  Know what to do if you discover a data breach or security incident</w:t>
      </w:r>
    </w:p>
    <w:p>
      <w:r>
        <w:rPr>
          <w:sz w:val="20"/>
        </w:rPr>
        <w:t xml:space="preserve">[Access Control Policy](./ACCESS_CONTROL_POLICY.md)  |  Understand role-based access, least privilege, and how to request permissions</w:t>
      </w:r>
    </w:p>
    <w:p>
      <w:r>
        <w:rPr>
          <w:sz w:val="20"/>
        </w:rPr>
        <w:t xml:space="preserve">[Employee Privacy Notice](./EMPLOYEE_PRIVACY_NOTICE.md)  |  Understand what data the company collects about you as an employee</w:t>
      </w:r>
    </w:p>
    <w:p>
      <w:pPr>
        <w:pStyle w:val="Heading3"/>
      </w:pPr>
      <w:r>
        <w:t>Week 2 — Operational</w:t>
      </w:r>
    </w:p>
    <w:p>
      <w:r>
        <w:rPr>
          <w:sz w:val="20"/>
        </w:rPr>
        <w:t xml:space="preserve">Document  |  Why You Need It</w:t>
      </w:r>
    </w:p>
    <w:p>
      <w:r>
        <w:rPr>
          <w:sz w:val="20"/>
        </w:rPr>
        <w:t xml:space="preserve">[Data Retention Policy](./DATA_RETENTION_POLICY.md)  |  Know how long data is kept and when it must be deleted</w:t>
      </w:r>
    </w:p>
    <w:p>
      <w:r>
        <w:rPr>
          <w:sz w:val="20"/>
        </w:rPr>
        <w:t xml:space="preserve">[DSAR Handling Guide](./DSAR_HANDLING_GUIDE.md)  |  Know how to handle data subject access requests from users</w:t>
      </w:r>
    </w:p>
    <w:p>
      <w:r>
        <w:rPr>
          <w:sz w:val="20"/>
        </w:rPr>
        <w:t xml:space="preserve">[Change Management Policy](./CHANGE_MANAGEMENT_POLICY.md)  |  Follow proper procedures for code changes and deployments</w:t>
      </w:r>
    </w:p>
    <w:p>
      <w:r>
        <w:rPr>
          <w:sz w:val="20"/>
        </w:rPr>
        <w:t xml:space="preserve">[Consent Management Guide](./CONSENT_MANAGEMENT_GUIDE.md)  |  Understand how user consent is collected and managed</w:t>
      </w:r>
    </w:p>
    <w:p>
      <w:pPr>
        <w:pStyle w:val="Heading3"/>
      </w:pPr>
      <w:r>
        <w:t>Month 1 — Deep Dive</w:t>
      </w:r>
    </w:p>
    <w:p>
      <w:r>
        <w:rPr>
          <w:sz w:val="20"/>
        </w:rPr>
        <w:t xml:space="preserve">Document  |  Why You Need It</w:t>
      </w:r>
    </w:p>
    <w:p>
      <w:r>
        <w:rPr>
          <w:sz w:val="20"/>
        </w:rPr>
        <w:t xml:space="preserve">[Data Processing Agreement](./DATA_PROCESSING_AGREEMENT.md)  |  Understand contractual obligations with data processors</w:t>
      </w:r>
    </w:p>
    <w:p>
      <w:r>
        <w:rPr>
          <w:sz w:val="20"/>
        </w:rPr>
        <w:t xml:space="preserve">[Sub-Processor List](./SUBPROCESSOR_LIST.md)  |  Know which third-party services process user data</w:t>
      </w:r>
    </w:p>
    <w:p>
      <w:r>
        <w:rPr>
          <w:sz w:val="20"/>
        </w:rPr>
        <w:t xml:space="preserve">[Compliance Roadmap](./COMPLIANCE_ROADMAP.md)  |  Understand the company's compliance goals and timeline</w:t>
      </w:r>
    </w:p>
    <w:p>
      <w:r>
        <w:rPr>
          <w:sz w:val="20"/>
        </w:rPr>
        <w:t xml:space="preserve">[Risk Register](./RISK_REGISTER.md)  |  Review identified compliance risks and mitigation strategies</w:t>
      </w:r>
    </w:p>
    <w:p>
      <w:pPr>
        <w:pStyle w:val="Heading3"/>
      </w:pPr>
      <w:r>
        <w:t>AI-Specific Reading (Required for AI Team Members)</w:t>
      </w:r>
    </w:p>
    <w:p>
      <w:r>
        <w:t xml:space="preserve">Our application uses AI services. If you work on AI features or use AI tools in your workflow, these are mandatory:</w:t>
      </w:r>
    </w:p>
    <w:p>
      <w:r>
        <w:rPr>
          <w:sz w:val="20"/>
        </w:rPr>
        <w:t xml:space="preserve">Document  |  Why You Need It</w:t>
      </w:r>
    </w:p>
    <w:p>
      <w:r>
        <w:rPr>
          <w:sz w:val="20"/>
        </w:rPr>
        <w:t xml:space="preserve">[AI Disclosure](./AI_DISCLOSURE.md)  |  Understand how AI usage is disclosed to end users (EU AI Act Art. 50)</w:t>
      </w:r>
    </w:p>
    <w:p>
      <w:r>
        <w:rPr>
          <w:sz w:val="20"/>
        </w:rPr>
        <w:t xml:space="preserve">[Acceptable AI Use Policy](./ACCEPTABLE_AI_USE_POLICY.md)  |  Know the rules for using AI tools in your work</w:t>
      </w:r>
    </w:p>
    <w:p>
      <w:r>
        <w:rPr>
          <w:sz w:val="20"/>
        </w:rPr>
        <w:t xml:space="preserve">[AI Governance Framework](./AI_GOVERNANCE_FRAMEWORK.md)  |  Understand the oversight structure for AI systems</w:t>
      </w:r>
    </w:p>
    <w:p>
      <w:pPr>
        <w:pStyle w:val="Heading2"/>
      </w:pPr>
      <w:r>
        <w:t>5. Key Policies — Quick Reference</w:t>
      </w:r>
    </w:p>
    <w:p>
      <w:pPr>
        <w:pStyle w:val="Heading3"/>
      </w:pPr>
      <w:r>
        <w:t>Data Handling Rules</w:t>
      </w:r>
    </w:p>
    <w:p>
      <w:pPr>
        <w:pStyle w:val="ListParagraph"/>
        <w:numPr>
          <w:ilvl w:val="0"/>
          <w:numId w:val="1"/>
        </w:numPr>
      </w:pPr>
      <w:r>
        <w:t xml:space="preserve">**Never** store personal data in logs, comments, or debug output</w:t>
      </w:r>
    </w:p>
    <w:p>
      <w:pPr>
        <w:pStyle w:val="ListParagraph"/>
        <w:numPr>
          <w:ilvl w:val="0"/>
          <w:numId w:val="1"/>
        </w:numPr>
      </w:pPr>
      <w:r>
        <w:t xml:space="preserve">**Never** share production data in Slack, email, or tickets</w:t>
      </w:r>
    </w:p>
    <w:p>
      <w:pPr>
        <w:pStyle w:val="ListParagraph"/>
        <w:numPr>
          <w:ilvl w:val="0"/>
          <w:numId w:val="1"/>
        </w:numPr>
      </w:pPr>
      <w:r>
        <w:t xml:space="preserve">**Never** copy production data to development environments without anonymization</w:t>
      </w:r>
    </w:p>
    <w:p>
      <w:pPr>
        <w:pStyle w:val="ListParagraph"/>
        <w:numPr>
          <w:ilvl w:val="0"/>
          <w:numId w:val="1"/>
        </w:numPr>
      </w:pPr>
      <w:r>
        <w:t xml:space="preserve">**Always** use the minimum amount of data necessary for your task</w:t>
      </w:r>
    </w:p>
    <w:p>
      <w:pPr>
        <w:pStyle w:val="ListParagraph"/>
        <w:numPr>
          <w:ilvl w:val="0"/>
          <w:numId w:val="1"/>
        </w:numPr>
      </w:pPr>
      <w:r>
        <w:t xml:space="preserve">**Always** encrypt personal data in transit and at rest</w:t>
      </w:r>
    </w:p>
    <w:p>
      <w:pPr>
        <w:pStyle w:val="Heading3"/>
      </w:pPr>
      <w:r>
        <w:t>Access &amp; Authentication</w:t>
      </w:r>
    </w:p>
    <w:p>
      <w:pPr>
        <w:pStyle w:val="ListParagraph"/>
        <w:numPr>
          <w:ilvl w:val="0"/>
          <w:numId w:val="1"/>
        </w:numPr>
      </w:pPr>
      <w:r>
        <w:t xml:space="preserve">Enable MFA on all accounts (corporate and third-party services)</w:t>
      </w:r>
    </w:p>
    <w:p>
      <w:pPr>
        <w:pStyle w:val="ListParagraph"/>
        <w:numPr>
          <w:ilvl w:val="0"/>
          <w:numId w:val="1"/>
        </w:numPr>
      </w:pPr>
      <w:r>
        <w:t xml:space="preserve">Use unique, strong passwords via the company password manager</w:t>
      </w:r>
    </w:p>
    <w:p>
      <w:pPr>
        <w:pStyle w:val="ListParagraph"/>
        <w:numPr>
          <w:ilvl w:val="0"/>
          <w:numId w:val="1"/>
        </w:numPr>
      </w:pPr>
      <w:r>
        <w:t xml:space="preserve">Never share credentials or API keys via email, Slack, or code commits</w:t>
      </w:r>
    </w:p>
    <w:p>
      <w:pPr>
        <w:pStyle w:val="ListParagraph"/>
        <w:numPr>
          <w:ilvl w:val="0"/>
          <w:numId w:val="1"/>
        </w:numPr>
      </w:pPr>
      <w:r>
        <w:t xml:space="preserve">Request only the access permissions you need — least privilege principle</w:t>
      </w:r>
    </w:p>
    <w:p>
      <w:pPr>
        <w:pStyle w:val="Heading3"/>
      </w:pPr>
      <w:r>
        <w:t>Incident Response</w:t>
      </w:r>
    </w:p>
    <w:p>
      <w:r>
        <w:t xml:space="preserve">If you discover or suspect a data breach or security incident:</w:t>
      </w:r>
    </w:p>
    <w:p>
      <w:pPr>
        <w:pStyle w:val="ListParagraph"/>
        <w:numPr>
          <w:ilvl w:val="0"/>
          <w:numId w:val="2"/>
        </w:numPr>
      </w:pPr>
      <w:r>
        <w:t xml:space="preserve">**Report immediately** — contact the security team within 1 hour</w:t>
      </w:r>
    </w:p>
    <w:p>
      <w:pPr>
        <w:pStyle w:val="ListParagraph"/>
        <w:numPr>
          <w:ilvl w:val="0"/>
          <w:numId w:val="2"/>
        </w:numPr>
      </w:pPr>
      <w:r>
        <w:t xml:space="preserve">**Do not attempt to fix it yourself** unless you are on the incident response team</w:t>
      </w:r>
    </w:p>
    <w:p>
      <w:pPr>
        <w:pStyle w:val="ListParagraph"/>
        <w:numPr>
          <w:ilvl w:val="0"/>
          <w:numId w:val="2"/>
        </w:numPr>
      </w:pPr>
      <w:r>
        <w:t xml:space="preserve">**Preserve evidence** — do not delete logs, emails, or files related to the incident</w:t>
      </w:r>
    </w:p>
    <w:p>
      <w:pPr>
        <w:pStyle w:val="ListParagraph"/>
        <w:numPr>
          <w:ilvl w:val="0"/>
          <w:numId w:val="2"/>
        </w:numPr>
      </w:pPr>
      <w:r>
        <w:t xml:space="preserve">**Document everything** — note the time, what you observed, and what actions you took</w:t>
      </w:r>
    </w:p>
    <w:p>
      <w:pPr>
        <w:ind w:left="720"/>
      </w:pPr>
      <w:r>
        <w:rPr>
          <w:i/>
          <w:color w:val="666666"/>
        </w:rPr>
        <w:t xml:space="preserve">Under GDPR, we have **72 hours** to report certain breaches to supervisory authorities. The clock starts when we become aware — that means your speed in reporting matters.</w:t>
      </w:r>
    </w:p>
    <w:p>
      <w:pPr>
        <w:pStyle w:val="Heading3"/>
      </w:pPr>
      <w:r>
        <w:t>Payment Data (PCI DSS)</w:t>
      </w:r>
    </w:p>
    <w:p>
      <w:pPr>
        <w:pStyle w:val="ListParagraph"/>
        <w:numPr>
          <w:ilvl w:val="0"/>
          <w:numId w:val="1"/>
        </w:numPr>
      </w:pPr>
      <w:r>
        <w:t xml:space="preserve">Never log, screenshot, or store raw payment card numbers</w:t>
      </w:r>
    </w:p>
    <w:p>
      <w:pPr>
        <w:pStyle w:val="ListParagraph"/>
        <w:numPr>
          <w:ilvl w:val="0"/>
          <w:numId w:val="1"/>
        </w:numPr>
      </w:pPr>
      <w:r>
        <w:t xml:space="preserve">Payment data is handled exclusively through our payment processor (see Sub-Processor List)</w:t>
      </w:r>
    </w:p>
    <w:p>
      <w:pPr>
        <w:pStyle w:val="ListParagraph"/>
        <w:numPr>
          <w:ilvl w:val="0"/>
          <w:numId w:val="1"/>
        </w:numPr>
      </w:pPr>
      <w:r>
        <w:t xml:space="preserve">If you encounter raw payment data anywhere in the system, report it immediately</w:t>
      </w:r>
    </w:p>
    <w:p>
      <w:pPr>
        <w:pStyle w:val="Heading3"/>
      </w:pPr>
      <w:r>
        <w:t>AI Usage Rules</w:t>
      </w:r>
    </w:p>
    <w:p>
      <w:pPr>
        <w:pStyle w:val="ListParagraph"/>
        <w:numPr>
          <w:ilvl w:val="0"/>
          <w:numId w:val="1"/>
        </w:numPr>
      </w:pPr>
      <w:r>
        <w:t xml:space="preserve">Do not input sensitive personal data (PII, health data, financial data) into AI tools unless explicitly authorized</w:t>
      </w:r>
    </w:p>
    <w:p>
      <w:pPr>
        <w:pStyle w:val="ListParagraph"/>
        <w:numPr>
          <w:ilvl w:val="0"/>
          <w:numId w:val="1"/>
        </w:numPr>
      </w:pPr>
      <w:r>
        <w:t xml:space="preserve">All AI-generated outputs must be reviewed by a human before being used in decisions affecting users</w:t>
      </w:r>
    </w:p>
    <w:p>
      <w:pPr>
        <w:pStyle w:val="ListParagraph"/>
        <w:numPr>
          <w:ilvl w:val="0"/>
          <w:numId w:val="1"/>
        </w:numPr>
      </w:pPr>
      <w:r>
        <w:t xml:space="preserve">AI tool usage must comply with the Acceptable AI Use Policy</w:t>
      </w:r>
    </w:p>
    <w:p>
      <w:pPr>
        <w:pStyle w:val="ListParagraph"/>
        <w:numPr>
          <w:ilvl w:val="0"/>
          <w:numId w:val="1"/>
        </w:numPr>
      </w:pPr>
      <w:r>
        <w:t xml:space="preserve">Users must be informed when they are interacting with AI systems (EU AI Act Art. 50)</w:t>
      </w:r>
    </w:p>
    <w:p>
      <w:pPr>
        <w:pStyle w:val="Heading2"/>
      </w:pPr>
      <w:r>
        <w:t>6. Onboarding Checklist</w:t>
      </w:r>
    </w:p>
    <w:p>
      <w:r>
        <w:t xml:space="preserve">Complete these items within your first 30 days:</w:t>
      </w:r>
    </w:p>
    <w:p>
      <w:pPr>
        <w:pStyle w:val="ListParagraph"/>
        <w:numPr>
          <w:ilvl w:val="0"/>
          <w:numId w:val="1"/>
        </w:numPr>
      </w:pPr>
      <w:r>
        <w:t xml:space="preserve">[ ] Read all Day 1 documents (Privacy Policy, AUP, Security Policy)</w:t>
      </w:r>
    </w:p>
    <w:p>
      <w:pPr>
        <w:pStyle w:val="ListParagraph"/>
        <w:numPr>
          <w:ilvl w:val="0"/>
          <w:numId w:val="1"/>
        </w:numPr>
      </w:pPr>
      <w:r>
        <w:t xml:space="preserve">[ ] Enable MFA on all corporate accounts</w:t>
      </w:r>
    </w:p>
    <w:p>
      <w:pPr>
        <w:pStyle w:val="ListParagraph"/>
        <w:numPr>
          <w:ilvl w:val="0"/>
          <w:numId w:val="1"/>
        </w:numPr>
      </w:pPr>
      <w:r>
        <w:t xml:space="preserve">[ ] Set up the company password manager</w:t>
      </w:r>
    </w:p>
    <w:p>
      <w:pPr>
        <w:pStyle w:val="ListParagraph"/>
        <w:numPr>
          <w:ilvl w:val="0"/>
          <w:numId w:val="1"/>
        </w:numPr>
      </w:pPr>
      <w:r>
        <w:t xml:space="preserve">[ ] Read all Week 1 documents (Data Protection, Incident Response, Access Control)</w:t>
      </w:r>
    </w:p>
    <w:p>
      <w:pPr>
        <w:pStyle w:val="ListParagraph"/>
        <w:numPr>
          <w:ilvl w:val="0"/>
          <w:numId w:val="1"/>
        </w:numPr>
      </w:pPr>
      <w:r>
        <w:t xml:space="preserve">[ ] Complete security awareness training (if available)</w:t>
      </w:r>
    </w:p>
    <w:p>
      <w:pPr>
        <w:pStyle w:val="ListParagraph"/>
        <w:numPr>
          <w:ilvl w:val="0"/>
          <w:numId w:val="1"/>
        </w:numPr>
      </w:pPr>
      <w:r>
        <w:t xml:space="preserve">[ ] Review the services list above — understand which ones you interact with</w:t>
      </w:r>
    </w:p>
    <w:p>
      <w:pPr>
        <w:pStyle w:val="ListParagraph"/>
        <w:numPr>
          <w:ilvl w:val="0"/>
          <w:numId w:val="1"/>
        </w:numPr>
      </w:pPr>
      <w:r>
        <w:t xml:space="preserve">[ ] Read all Week 2 documents (Data Retention, DSAR, Change Management)</w:t>
      </w:r>
    </w:p>
    <w:p>
      <w:pPr>
        <w:pStyle w:val="ListParagraph"/>
        <w:numPr>
          <w:ilvl w:val="0"/>
          <w:numId w:val="1"/>
        </w:numPr>
      </w:pPr>
      <w:r>
        <w:t xml:space="preserve">[ ] Read all Month 1 documents (DPA, Sub-Processors, Roadmap, Risk Register)</w:t>
      </w:r>
    </w:p>
    <w:p>
      <w:pPr>
        <w:pStyle w:val="ListParagraph"/>
        <w:numPr>
          <w:ilvl w:val="0"/>
          <w:numId w:val="1"/>
        </w:numPr>
      </w:pPr>
      <w:r>
        <w:t xml:space="preserve">[ ] Read AI-specific documents (if applicable to your role)</w:t>
      </w:r>
    </w:p>
    <w:p>
      <w:pPr>
        <w:pStyle w:val="ListParagraph"/>
        <w:numPr>
          <w:ilvl w:val="0"/>
          <w:numId w:val="1"/>
        </w:numPr>
      </w:pPr>
      <w:r>
        <w:t xml:space="preserve">[ ] Sign the Compliance Acknowledgment (contact compliance lead)</w:t>
      </w:r>
    </w:p>
    <w:p>
      <w:pPr>
        <w:pStyle w:val="ListParagraph"/>
        <w:numPr>
          <w:ilvl w:val="0"/>
          <w:numId w:val="1"/>
        </w:numPr>
      </w:pPr>
      <w:r>
        <w:t xml:space="preserve">[ ] Know how to report an incident — save the contact info from Section 2</w:t>
      </w:r>
    </w:p>
    <w:p>
      <w:pPr>
        <w:pStyle w:val="Heading2"/>
      </w:pPr>
      <w:r>
        <w:t>7. Frequently Asked Questions</w:t>
      </w:r>
    </w:p>
    <w:p>
      <w:r>
        <w:t xml:space="preserve">Q: I found personal data in a log file. What do I do?</w:t>
      </w:r>
    </w:p>
    <w:p>
      <w:r>
        <w:t xml:space="preserve">A: Report it to the security team immediately. Do not delete the log — they will handle remediation and assess whether it constitutes a breach.</w:t>
      </w:r>
    </w:p>
    <w:p>
      <w:r>
        <w:t xml:space="preserve">Q: A user asked me to delete their data. What do I do?</w:t>
      </w:r>
    </w:p>
    <w:p>
      <w:r>
        <w:t xml:space="preserve">A: Forward the request to the compliance lead. Do not delete data yourself — there is a formal DSAR process that must be followed (see DSAR Handling Guide).</w:t>
      </w:r>
    </w:p>
    <w:p>
      <w:r>
        <w:t xml:space="preserve">Q: I want to add a new third-party service to the project. Do I need approval?</w:t>
      </w:r>
    </w:p>
    <w:p>
      <w:r>
        <w:t xml:space="preserve">A: Yes. Any new service that processes user data must be reviewed by the compliance lead before integration. It needs a DPA review and must be added to the sub-processor list.</w:t>
      </w:r>
    </w:p>
    <w:p>
      <w:r>
        <w:t xml:space="preserve">Q: Can I use ChatGPT / Claude / other AI tools for work?</w:t>
      </w:r>
    </w:p>
    <w:p>
      <w:r>
        <w:t xml:space="preserve">A: Yes, within the boundaries of our Acceptable AI Use Policy. Do not input sensitive personal data. All outputs must be reviewed before use.</w:t>
      </w:r>
    </w:p>
    <w:p>
      <w:r>
        <w:t xml:space="preserve">Q: Where do I find all compliance documents?</w:t>
      </w:r>
    </w:p>
    <w:p>
      <w:r>
        <w:t xml:space="preserve">A: All documents are in the `legal/` directory of the project repository. Start with the Compliance Policy Index for a full listing.</w:t>
      </w:r>
    </w:p>
    <w:p>
      <w:pPr>
        <w:pBdr>
          <w:bottom w:val="single" w:sz="6" w:space="1" w:color="999999"/>
        </w:pBdr>
      </w:pPr>
    </w:p>
    <w:p>
      <w:r>
        <w:t xml:space="preserve">This Compliance Onboarding Guide was auto-generated by [Codepliant](https://github.com/joechensmartz/codepliant) based on code analysis. It should be reviewed by your compliance and HR teams before distribution to new employees.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